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微软雅黑" w:hAnsi="微软雅黑" w:eastAsia="微软雅黑" w:cs="微软雅黑"/>
          <w:b/>
          <w:bCs/>
          <w:color w:val="FF0000"/>
          <w:sz w:val="20"/>
          <w:szCs w:val="20"/>
          <w:lang w:val="en-US" w:eastAsia="zh-CN"/>
        </w:rPr>
      </w:pPr>
      <w:bookmarkStart w:id="0" w:name="OLE_LINK1"/>
      <w:bookmarkStart w:id="1" w:name="OLE_LINK6"/>
      <w:r>
        <w:rPr>
          <w:rFonts w:hint="eastAsia"/>
          <w:lang w:val="en-US" w:eastAsia="zh-CN"/>
        </w:rPr>
        <w:t>韩国一般商务签证所需材料</w:t>
      </w:r>
      <w:r>
        <w:rPr>
          <w:rFonts w:hint="eastAsia" w:ascii="微软雅黑" w:hAnsi="微软雅黑" w:eastAsia="微软雅黑" w:cs="微软雅黑"/>
          <w:b/>
          <w:bCs w:val="0"/>
          <w:lang w:val="en-US" w:eastAsia="zh-CN"/>
        </w:rPr>
        <w:t>（</w:t>
      </w:r>
      <w:bookmarkStart w:id="2" w:name="OLE_LINK5"/>
      <w:r>
        <w:rPr>
          <w:rFonts w:hint="eastAsia"/>
          <w:lang w:val="en-US" w:eastAsia="zh-CN"/>
        </w:rPr>
        <w:t>C-3-</w:t>
      </w:r>
      <w:bookmarkEnd w:id="2"/>
      <w:r>
        <w:rPr>
          <w:rFonts w:hint="eastAsia"/>
          <w:lang w:val="en-US" w:eastAsia="zh-CN"/>
        </w:rPr>
        <w:t>4</w:t>
      </w:r>
      <w:r>
        <w:rPr>
          <w:rFonts w:hint="eastAsia" w:ascii="微软雅黑" w:hAnsi="微软雅黑" w:eastAsia="微软雅黑" w:cs="微软雅黑"/>
          <w:b/>
          <w:bCs w:val="0"/>
          <w:lang w:val="en-US" w:eastAsia="zh-CN"/>
        </w:rPr>
        <w:t>）</w:t>
      </w:r>
      <w:bookmarkEnd w:id="0"/>
      <w:r>
        <w:rPr>
          <w:rFonts w:hint="eastAsia" w:ascii="微软雅黑" w:hAnsi="微软雅黑" w:eastAsia="微软雅黑" w:cs="微软雅黑"/>
          <w:b/>
          <w:bCs w:val="0"/>
          <w:color w:val="FF0000"/>
          <w:lang w:val="en-US" w:eastAsia="zh-CN"/>
        </w:rPr>
        <w:t>（五</w:t>
      </w:r>
      <w:bookmarkStart w:id="3" w:name="_GoBack"/>
      <w:bookmarkEnd w:id="3"/>
      <w:r>
        <w:rPr>
          <w:rFonts w:hint="eastAsia" w:ascii="微软雅黑" w:hAnsi="微软雅黑" w:eastAsia="微软雅黑" w:cs="微软雅黑"/>
          <w:b/>
          <w:bCs w:val="0"/>
          <w:color w:val="FF0000"/>
          <w:lang w:val="en-US" w:eastAsia="zh-CN"/>
        </w:rPr>
        <w:t>年多次）</w:t>
      </w:r>
      <w:bookmarkEnd w:id="1"/>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b/>
          <w:bCs/>
          <w:color w:val="auto"/>
          <w:sz w:val="18"/>
          <w:szCs w:val="18"/>
          <w:vertAlign w:val="baseline"/>
          <w:lang w:val="en-US" w:eastAsia="zh-CN"/>
        </w:rPr>
      </w:pPr>
      <w:r>
        <w:rPr>
          <w:rFonts w:hint="eastAsia" w:ascii="微软雅黑" w:hAnsi="微软雅黑" w:eastAsia="微软雅黑" w:cs="微软雅黑"/>
          <w:b/>
          <w:bCs/>
          <w:color w:val="auto"/>
          <w:sz w:val="18"/>
          <w:szCs w:val="18"/>
          <w:vertAlign w:val="baseline"/>
          <w:lang w:val="en-US" w:eastAsia="zh-CN"/>
        </w:rPr>
        <w:t>有效期：5年 停留期90天以内</w:t>
      </w:r>
    </w:p>
    <w:tbl>
      <w:tblPr>
        <w:tblStyle w:val="7"/>
        <w:tblW w:w="100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7"/>
        <w:gridCol w:w="4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4F81BD"/>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宋体" w:hAnsi="宋体" w:eastAsia="宋体" w:cs="宋体"/>
                <w:b/>
                <w:i w:val="0"/>
                <w:iCs w:val="0"/>
                <w:color w:val="auto"/>
                <w:sz w:val="21"/>
                <w:szCs w:val="21"/>
              </w:rPr>
            </w:pPr>
            <w:r>
              <w:rPr>
                <w:rFonts w:hint="eastAsia" w:ascii="微软雅黑" w:hAnsi="微软雅黑" w:eastAsia="微软雅黑" w:cs="微软雅黑"/>
                <w:b/>
                <w:bCs/>
                <w:color w:val="FFFFFF"/>
                <w:sz w:val="18"/>
                <w:szCs w:val="18"/>
                <w:vertAlign w:val="baseline"/>
                <w:lang w:val="en-US" w:eastAsia="zh-CN"/>
              </w:rPr>
              <w:t>签发对象</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4F81BD"/>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宋体" w:hAnsi="宋体" w:eastAsia="宋体" w:cs="宋体"/>
                <w:b/>
                <w:i w:val="0"/>
                <w:iCs w:val="0"/>
                <w:color w:val="auto"/>
                <w:sz w:val="21"/>
                <w:szCs w:val="21"/>
              </w:rPr>
            </w:pPr>
            <w:r>
              <w:rPr>
                <w:rFonts w:hint="eastAsia" w:ascii="微软雅黑" w:hAnsi="微软雅黑" w:eastAsia="微软雅黑" w:cs="微软雅黑"/>
                <w:b/>
                <w:bCs/>
                <w:color w:val="FFFFFF"/>
                <w:sz w:val="18"/>
                <w:szCs w:val="18"/>
                <w:vertAlign w:val="baseline"/>
                <w:lang w:val="en-US" w:eastAsia="zh-CN"/>
              </w:rPr>
              <w:t>必备资料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①大学(含括专科大学)教师及小学、初中、高中教师</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*助理教授以上的人员可获发有效期为10年的多次往返签证</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教员、教师资格证原件、复印件及在职证明材料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②外交机构馆长承认的著名艺术家、艺人及运动员</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特定团体(协会等)会员证或其它身份证明材料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③曾作为带领团体游客的旅游社导游访问过韩国三次以上者</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导游证复印件及在职证明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④曾访问韩国的人员</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-免签入境(含观光登陆许可)韩国的人员除外</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-持团签或个别担保签证入境者，只承认2016年1月27日之前的入境记录</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ko-KR"/>
              </w:rPr>
            </w:pPr>
            <w:r>
              <w:rPr>
                <w:rFonts w:hint="eastAsia" w:ascii="微软雅黑" w:hAnsi="微软雅黑" w:eastAsia="微软雅黑" w:cs="微软雅黑"/>
                <w:color w:val="auto"/>
                <w:sz w:val="18"/>
                <w:szCs w:val="18"/>
                <w:vertAlign w:val="baseline"/>
                <w:lang w:val="en-US" w:eastAsia="zh-CN"/>
              </w:rPr>
              <w:t>实行日期：2016年</w:t>
            </w:r>
            <w:r>
              <w:rPr>
                <w:rFonts w:hint="eastAsia" w:ascii="微软雅黑" w:hAnsi="微软雅黑" w:eastAsia="微软雅黑" w:cs="微软雅黑"/>
                <w:color w:val="auto"/>
                <w:sz w:val="18"/>
                <w:szCs w:val="18"/>
                <w:vertAlign w:val="baseline"/>
                <w:lang w:val="en-US" w:eastAsia="ko-KR"/>
              </w:rPr>
              <w:t>7</w:t>
            </w:r>
            <w:r>
              <w:rPr>
                <w:rFonts w:hint="eastAsia" w:ascii="微软雅黑" w:hAnsi="微软雅黑" w:eastAsia="微软雅黑" w:cs="微软雅黑"/>
                <w:color w:val="auto"/>
                <w:sz w:val="18"/>
                <w:szCs w:val="18"/>
                <w:vertAlign w:val="baseline"/>
                <w:lang w:val="en-US" w:eastAsia="zh-CN"/>
              </w:rPr>
              <w:t>月1日起</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出入境事实证明材料(护照页出入境记录复印件等)</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*(申请人如曾持医疗观光签证访问过韩国):只有访韩记录的人员申请多次签证时，只承认最近一年内在韩国国内医院或医疗机构支付的诊疗(治疗)费总额达韩币200万元以上的访韩记录，因此还需提供诊疗费证明材料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⑤同韩国的年贸易量达3万美元以上的私营企业管理人员以上职位的人或作为正式职员工作两年以上的人</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1.可证明贸易业绩的材料(进出口申报证明等)</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2.营业执照副本复印件及在职证明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⑥能证明个人资产达200万元以上者（房地产、金融资产及本人所有企业等）</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资产证明材料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⑦中国公务员或持公务普通护照者</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在职证明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⑧在韩国投资100万美元（10亿韩元）以上的企业的职员</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投资证明材料及在职证明书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⑨定期通航于韩国的航空、船运公司职员</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营业执照副本复印件及在职证明书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⑩持有国际通用信用卡金卡以上的优秀客户</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信用卡账单（最近6个月）及信用卡复印件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⑪月收入人民币5,000元(年收入人民币60,000元)以上的人员</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收入证明材料（最近6个月内的个人所得税完税证明等）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⑫未满17周岁和年满55周岁以上的人员</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只需提交共同材料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⑬四年制大学在校生或毕业人员</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*为防止提交虚假的毕业证或在学证明，须进入中国高等教育学生信息网打印电子认证材料</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中国高等教育学生信息网电子认证材料（登录</w:t>
            </w:r>
            <w:r>
              <w:rPr>
                <w:rFonts w:hint="eastAsia" w:ascii="微软雅黑" w:hAnsi="微软雅黑" w:eastAsia="微软雅黑" w:cs="微软雅黑"/>
                <w:color w:val="auto"/>
                <w:sz w:val="18"/>
                <w:szCs w:val="18"/>
                <w:vertAlign w:val="baseline"/>
                <w:lang w:val="en-US" w:eastAsia="zh-CN"/>
              </w:rPr>
              <w:fldChar w:fldCharType="begin"/>
            </w:r>
            <w:r>
              <w:rPr>
                <w:rFonts w:hint="eastAsia" w:ascii="微软雅黑" w:hAnsi="微软雅黑" w:eastAsia="微软雅黑" w:cs="微软雅黑"/>
                <w:color w:val="auto"/>
                <w:sz w:val="18"/>
                <w:szCs w:val="18"/>
                <w:vertAlign w:val="baseline"/>
                <w:lang w:val="en-US" w:eastAsia="zh-CN"/>
              </w:rPr>
              <w:instrText xml:space="preserve"> HYPERLINK "http://www.chsi.com.cn" </w:instrText>
            </w:r>
            <w:r>
              <w:rPr>
                <w:rFonts w:hint="eastAsia" w:ascii="微软雅黑" w:hAnsi="微软雅黑" w:eastAsia="微软雅黑" w:cs="微软雅黑"/>
                <w:color w:val="auto"/>
                <w:sz w:val="18"/>
                <w:szCs w:val="18"/>
                <w:vertAlign w:val="baseline"/>
                <w:lang w:val="en-US" w:eastAsia="zh-CN"/>
              </w:rPr>
              <w:fldChar w:fldCharType="separate"/>
            </w:r>
            <w:r>
              <w:rPr>
                <w:rFonts w:hint="eastAsia" w:ascii="微软雅黑" w:hAnsi="微软雅黑" w:eastAsia="微软雅黑" w:cs="微软雅黑"/>
                <w:color w:val="auto"/>
                <w:sz w:val="18"/>
                <w:szCs w:val="18"/>
                <w:vertAlign w:val="baseline"/>
                <w:lang w:val="en-US" w:eastAsia="zh-CN"/>
              </w:rPr>
              <w:t>www.chsi.com.cn</w:t>
            </w:r>
            <w:r>
              <w:rPr>
                <w:rFonts w:hint="eastAsia" w:ascii="微软雅黑" w:hAnsi="微软雅黑" w:eastAsia="微软雅黑" w:cs="微软雅黑"/>
                <w:color w:val="auto"/>
                <w:sz w:val="18"/>
                <w:szCs w:val="18"/>
                <w:vertAlign w:val="baseline"/>
                <w:lang w:val="en-US" w:eastAsia="zh-CN"/>
              </w:rPr>
              <w:fldChar w:fldCharType="end"/>
            </w:r>
            <w:r>
              <w:rPr>
                <w:rFonts w:hint="eastAsia" w:ascii="微软雅黑" w:hAnsi="微软雅黑" w:eastAsia="微软雅黑" w:cs="微软雅黑"/>
                <w:color w:val="auto"/>
                <w:sz w:val="18"/>
                <w:szCs w:val="18"/>
                <w:vertAlign w:val="baseline"/>
                <w:lang w:val="en-US" w:eastAsia="zh-CN"/>
              </w:rPr>
              <w:t>打印）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⑭中国企业联合会选定的500强企业的处级以上人员或工作满6个月的在职人员(请参考</w:t>
            </w:r>
            <w:r>
              <w:rPr>
                <w:rFonts w:hint="eastAsia" w:ascii="微软雅黑" w:hAnsi="微软雅黑" w:eastAsia="微软雅黑" w:cs="微软雅黑"/>
                <w:color w:val="auto"/>
                <w:sz w:val="18"/>
                <w:szCs w:val="18"/>
                <w:vertAlign w:val="baseline"/>
                <w:lang w:val="en-US" w:eastAsia="zh-CN"/>
              </w:rPr>
              <w:fldChar w:fldCharType="begin"/>
            </w:r>
            <w:r>
              <w:rPr>
                <w:rFonts w:hint="eastAsia" w:ascii="微软雅黑" w:hAnsi="微软雅黑" w:eastAsia="微软雅黑" w:cs="微软雅黑"/>
                <w:color w:val="auto"/>
                <w:sz w:val="18"/>
                <w:szCs w:val="18"/>
                <w:vertAlign w:val="baseline"/>
                <w:lang w:val="en-US" w:eastAsia="zh-CN"/>
              </w:rPr>
              <w:instrText xml:space="preserve"> HYPERLINK "http://www.cec-ceda.org.cn" </w:instrText>
            </w:r>
            <w:r>
              <w:rPr>
                <w:rFonts w:hint="eastAsia" w:ascii="微软雅黑" w:hAnsi="微软雅黑" w:eastAsia="微软雅黑" w:cs="微软雅黑"/>
                <w:color w:val="auto"/>
                <w:sz w:val="18"/>
                <w:szCs w:val="18"/>
                <w:vertAlign w:val="baseline"/>
                <w:lang w:val="en-US" w:eastAsia="zh-CN"/>
              </w:rPr>
              <w:fldChar w:fldCharType="separate"/>
            </w:r>
            <w:r>
              <w:rPr>
                <w:rFonts w:hint="eastAsia" w:ascii="微软雅黑" w:hAnsi="微软雅黑" w:eastAsia="微软雅黑" w:cs="微软雅黑"/>
                <w:color w:val="auto"/>
                <w:sz w:val="18"/>
                <w:szCs w:val="18"/>
                <w:vertAlign w:val="baseline"/>
                <w:lang w:val="en-US" w:eastAsia="zh-CN"/>
              </w:rPr>
              <w:t>http://www.cec-ceda.org.cn</w:t>
            </w:r>
            <w:r>
              <w:rPr>
                <w:rFonts w:hint="eastAsia" w:ascii="微软雅黑" w:hAnsi="微软雅黑" w:eastAsia="微软雅黑" w:cs="微软雅黑"/>
                <w:color w:val="auto"/>
                <w:sz w:val="18"/>
                <w:szCs w:val="18"/>
                <w:vertAlign w:val="baseline"/>
                <w:lang w:val="en-US" w:eastAsia="zh-CN"/>
              </w:rPr>
              <w:fldChar w:fldCharType="end"/>
            </w:r>
            <w:r>
              <w:rPr>
                <w:rFonts w:hint="eastAsia" w:ascii="微软雅黑" w:hAnsi="微软雅黑" w:eastAsia="微软雅黑" w:cs="微软雅黑"/>
                <w:color w:val="auto"/>
                <w:sz w:val="18"/>
                <w:szCs w:val="18"/>
                <w:vertAlign w:val="baseline"/>
                <w:lang w:val="en-US" w:eastAsia="zh-CN"/>
              </w:rPr>
              <w:t>)</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营业执照副本复印件及在职证明材料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⑮持韩国国内公寓式酒(Condominium)会员卡(韩币3,000万元以上)的人</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取得税完税证明或公寓式酒店会员卡原件及复印件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⑯持有短期多次往返签证(C-3)者的亲属（配偶、未成年子女、父母、配偶父母）</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亲属关系证明材料（户口本等）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2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⑰持有北京、上海、广州、深圳户籍的人</w:t>
            </w:r>
          </w:p>
        </w:tc>
        <w:tc>
          <w:tcPr>
            <w:tcW w:w="479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身份证原件</w:t>
            </w:r>
          </w:p>
        </w:tc>
      </w:tr>
    </w:tbl>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bCs/>
          <w:lang w:val="en-US" w:eastAsia="zh-CN"/>
        </w:rPr>
      </w:pPr>
      <w:r>
        <w:rPr>
          <w:rFonts w:hint="eastAsia" w:ascii="微软雅黑" w:hAnsi="微软雅黑" w:eastAsia="微软雅黑" w:cs="微软雅黑"/>
          <w:b/>
          <w:bCs/>
          <w:color w:val="FF0000"/>
          <w:sz w:val="20"/>
          <w:szCs w:val="20"/>
          <w:lang w:val="en-US" w:eastAsia="zh-CN"/>
        </w:rPr>
        <w:t>温馨提示：</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1、外地户籍需提供暂住证（居住证）或当地交税（社会保险）证明等能够证明长期在本地生活的材料。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2、驻外使领馆根据审查需要，必要时将根据派驻国(管辖区域)实情，适当加减所需材料。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3、不同领区不同人群所需提供材料略有区别，详情可咨询我们。</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r>
        <w:rPr>
          <w:rFonts w:hint="eastAsia" w:ascii="微软雅黑" w:hAnsi="微软雅黑" w:eastAsia="微软雅黑" w:cs="微软雅黑"/>
          <w:b/>
          <w:bCs/>
          <w:color w:val="FF0000"/>
          <w:sz w:val="20"/>
          <w:szCs w:val="20"/>
          <w:lang w:val="en-US" w:eastAsia="zh-CN"/>
        </w:rPr>
        <w:t>预订须知：</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A、签证属于特殊商品，我司会按使领馆的要求为客人准备最合适的送签材料，确保您的材料有最高出签可能，但所申请的签证是否成功，取决于使领馆对资料的审核，若发生拒签，请申请人自然接受结果，并放弃追究本公司任何责任的权利。</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B、我司在收取申请人资料后，经二次审核发现不符合签证申请资格的，保留作出不予受理申请人签证申请决定的权利。</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C、申请人需保证提供材料的真实性，有效性，如因隐瞒曾有不良记录，或从事非法活动，被相关部门查处或有滞留倾向拒签，我司不承担责任。请申请人特别注意诚实信用的原则。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D、在办理签证期间，我司可能会根据您的材料情况要求增补其他材料、担保金或予以劝退；领馆也可能会针对您的实际情况，要求增补其他材料，或延长签证受理时间 （此情况由领馆决定，我司无法干预）。</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E、韩国签证服务中心网上公布的办理周期、停留时间、签证有效期等均系基于以往经验的预估时限，并非确定承诺，准确时限以使领馆实际审批结果为准，领馆也可能因内部原因导致延迟出签。</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F、在您获得签证前请勿先行支付机票、酒店费用，以免因签证问题产生费用损失，否则损失将由您自行承担；如您提供了机票、酒店预订单申请签证，请勿在获得签证前取消预订，否则可能对签证结果产生影响。</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G、如果您的护照在韩国签证服务中心网办理过程中丢失，每本最高赔付1000元。</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H、订单生效后如欲中途取消签证申请，则在韩国签证服务中心网已经将您的签证申请送交使领馆的情况下，您已经支付的订单款项将不予退还。</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I 、依据使馆要求，签证申请人在送签或归国后，如被使领馆要求参加面试或面试销签，签证申请人必须配合使领馆完成面试工作。如因个人原因未按时参加面试或面试销签，一切后果由签证申请人自行承担。</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pPr>
      <w:r>
        <w:rPr>
          <w:rFonts w:hint="eastAsia" w:ascii="微软雅黑" w:hAnsi="微软雅黑" w:eastAsia="微软雅黑" w:cs="微软雅黑"/>
          <w:sz w:val="15"/>
          <w:szCs w:val="15"/>
          <w:lang w:val="en-US" w:eastAsia="zh-CN"/>
        </w:rPr>
        <w:t>J 、以上韩国签证服务中心网公布的签证总计受理工作日为自收齐资料并审核通过后第二个工作日开始起至返回签证结果的时间，不包含护照或签证返回的物流或自取时间。</w:t>
      </w:r>
    </w:p>
    <w:sectPr>
      <w:headerReference r:id="rId3" w:type="default"/>
      <w:footerReference r:id="rId4" w:type="default"/>
      <w:pgSz w:w="11906" w:h="16838"/>
      <w:pgMar w:top="850" w:right="1134" w:bottom="850" w:left="1134" w:header="851" w:footer="992" w:gutter="0"/>
      <w:pgBorders>
        <w:top w:val="none" w:sz="0" w:space="0"/>
        <w:left w:val="none" w:sz="0" w:space="0"/>
        <w:bottom w:val="none" w:sz="0" w:space="0"/>
        <w:right w:val="none" w:sz="0" w:space="0"/>
      </w:pgBorders>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CF3C52" w:usb2="00000016" w:usb3="00000000" w:csb0="0004001F" w:csb1="00000000"/>
  </w:font>
  <w:font w:name="MS PGothic">
    <w:panose1 w:val="020B0600070205080204"/>
    <w:charset w:val="80"/>
    <w:family w:val="auto"/>
    <w:pitch w:val="default"/>
    <w:sig w:usb0="E00002FF" w:usb1="6AC7FDFB" w:usb2="08000012" w:usb3="00000000" w:csb0="4002009F" w:csb1="DFD70000"/>
  </w:font>
  <w:font w:name="Batang">
    <w:panose1 w:val="02030600000101010101"/>
    <w:charset w:val="81"/>
    <w:family w:val="roman"/>
    <w:pitch w:val="default"/>
    <w:sig w:usb0="B00002AF" w:usb1="69D77CFB" w:usb2="00000030" w:usb3="00000000" w:csb0="4008009F" w:csb1="DFD70000"/>
  </w:font>
  <w:font w:name="HY헤드라인M">
    <w:altName w:val="GungsuhChe"/>
    <w:panose1 w:val="02030600000101010101"/>
    <w:charset w:val="81"/>
    <w:family w:val="roman"/>
    <w:pitch w:val="default"/>
    <w:sig w:usb0="00000000" w:usb1="00000000" w:usb2="00000010" w:usb3="00000000" w:csb0="00080000" w:csb1="00000000"/>
  </w:font>
  <w:font w:name="Gulim">
    <w:panose1 w:val="020B0600000101010101"/>
    <w:charset w:val="81"/>
    <w:family w:val="modern"/>
    <w:pitch w:val="default"/>
    <w:sig w:usb0="B00002AF" w:usb1="69D77CFB" w:usb2="00000030" w:usb3="00000000" w:csb0="4008009F" w:csb1="DFD70000"/>
  </w:font>
  <w:font w:name="Malgun Gothic">
    <w:panose1 w:val="020B0503020000020004"/>
    <w:charset w:val="81"/>
    <w:family w:val="modern"/>
    <w:pitch w:val="default"/>
    <w:sig w:usb0="900002AF" w:usb1="29D77CFB" w:usb2="00000012" w:usb3="00000000" w:csb0="0008008D" w:csb1="00000000"/>
  </w:font>
  <w:font w:name="MS Mincho">
    <w:panose1 w:val="02020609040205080304"/>
    <w:charset w:val="80"/>
    <w:family w:val="modern"/>
    <w:pitch w:val="default"/>
    <w:sig w:usb0="E00002FF" w:usb1="6AC7FDFB" w:usb2="08000012" w:usb3="00000000" w:csb0="4002009F" w:csb1="DFD70000"/>
  </w:font>
  <w:font w:name="휴먼둥근헤드라인">
    <w:altName w:val="Gungsuh"/>
    <w:panose1 w:val="02030504000101010101"/>
    <w:charset w:val="81"/>
    <w:family w:val="roman"/>
    <w:pitch w:val="default"/>
    <w:sig w:usb0="00000000" w:usb1="00000000" w:usb2="00000010" w:usb3="00000000" w:csb0="00080000" w:csb1="00000000"/>
  </w:font>
  <w:font w:name="Arial Unicode MS">
    <w:panose1 w:val="020B0604020202020204"/>
    <w:charset w:val="81"/>
    <w:family w:val="modern"/>
    <w:pitch w:val="default"/>
    <w:sig w:usb0="FFFFFFFF" w:usb1="E9FFFFFF" w:usb2="0000003F" w:usb3="00000000" w:csb0="603F01FF" w:csb1="FFFF0000"/>
  </w:font>
  <w:font w:name="새굴림">
    <w:altName w:val="GungsuhChe"/>
    <w:panose1 w:val="02030600000101010101"/>
    <w:charset w:val="81"/>
    <w:family w:val="roman"/>
    <w:pitch w:val="default"/>
    <w:sig w:usb0="00000000" w:usb1="00000000" w:usb2="00000030" w:usb3="00000000" w:csb0="0008009F" w:csb1="00000000"/>
  </w:font>
  <w:font w:name="Wingdings 2">
    <w:panose1 w:val="05020102010507070707"/>
    <w:charset w:val="02"/>
    <w:family w:val="roman"/>
    <w:pitch w:val="default"/>
    <w:sig w:usb0="00000000" w:usb1="00000000" w:usb2="00000000" w:usb3="00000000" w:csb0="80000000" w:csb1="00000000"/>
  </w:font>
  <w:font w:name="HY나무M">
    <w:altName w:val="GungsuhChe"/>
    <w:panose1 w:val="02030600000101010101"/>
    <w:charset w:val="81"/>
    <w:family w:val="roman"/>
    <w:pitch w:val="default"/>
    <w:sig w:usb0="00000000" w:usb1="00000000" w:usb2="00000010" w:usb3="00000000" w:csb0="00080000" w:csb1="00000000"/>
  </w:font>
  <w:font w:name="华文新魏">
    <w:panose1 w:val="02010800040101010101"/>
    <w:charset w:val="86"/>
    <w:family w:val="auto"/>
    <w:pitch w:val="default"/>
    <w:sig w:usb0="00000001" w:usb1="080F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ÇÑÄÄ¹ÙÅÁ">
    <w:altName w:val="Times New Roman"/>
    <w:panose1 w:val="00000000000000000000"/>
    <w:charset w:val="00"/>
    <w:family w:val="auto"/>
    <w:pitch w:val="default"/>
    <w:sig w:usb0="00000000" w:usb1="00000000" w:usb2="00000000" w:usb3="00000000" w:csb0="00000001" w:csb1="00000000"/>
  </w:font>
  <w:font w:name="HY견고딕">
    <w:altName w:val="GungsuhChe"/>
    <w:panose1 w:val="02030600000101010101"/>
    <w:charset w:val="81"/>
    <w:family w:val="roman"/>
    <w:pitch w:val="default"/>
    <w:sig w:usb0="00000000" w:usb1="00000000" w:usb2="00000010" w:usb3="00000000" w:csb0="00080000" w:csb1="00000000"/>
  </w:font>
  <w:font w:name="新宋体">
    <w:panose1 w:val="02010609030101010101"/>
    <w:charset w:val="86"/>
    <w:family w:val="modern"/>
    <w:pitch w:val="default"/>
    <w:sig w:usb0="00000003" w:usb1="288F0000" w:usb2="00000006" w:usb3="00000000" w:csb0="00040001" w:csb1="00000000"/>
  </w:font>
  <w:font w:name="Dotum">
    <w:panose1 w:val="020B0600000101010101"/>
    <w:charset w:val="81"/>
    <w:family w:val="moder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HY강M">
    <w:altName w:val="GungsuhChe"/>
    <w:panose1 w:val="02030600000101010101"/>
    <w:charset w:val="81"/>
    <w:family w:val="roman"/>
    <w:pitch w:val="default"/>
    <w:sig w:usb0="00000000" w:usb1="00000000" w:usb2="00000010" w:usb3="00000000" w:csb0="00080000" w:csb1="00000000"/>
  </w:font>
  <w:font w:name="함초롬바탕">
    <w:altName w:val="Gungsuh"/>
    <w:panose1 w:val="02030504000101010101"/>
    <w:charset w:val="81"/>
    <w:family w:val="roman"/>
    <w:pitch w:val="default"/>
    <w:sig w:usb0="00000000" w:usb1="00000000" w:usb2="001BFDD7" w:usb3="00000000" w:csb0="00080001" w:csb1="00000000"/>
  </w:font>
  <w:font w:name="Arial Black">
    <w:panose1 w:val="020B0A04020102020204"/>
    <w:charset w:val="00"/>
    <w:family w:val="swiss"/>
    <w:pitch w:val="default"/>
    <w:sig w:usb0="A00002AF" w:usb1="400078FB" w:usb2="00000000" w:usb3="00000000" w:csb0="6000009F" w:csb1="DFD70000"/>
  </w:font>
  <w:font w:name="휴먼고딕">
    <w:altName w:val="Gungsuh"/>
    <w:panose1 w:val="02010504000101010101"/>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40001" w:csb1="00000000"/>
  </w:font>
  <w:font w:name="휴먼명조">
    <w:altName w:val="Gungsuh"/>
    <w:panose1 w:val="02010504000101010101"/>
    <w:charset w:val="81"/>
    <w:family w:val="auto"/>
    <w:pitch w:val="default"/>
    <w:sig w:usb0="00000000" w:usb1="00000000" w:usb2="00000010" w:usb3="00000000" w:csb0="00080000" w:csb1="00000000"/>
  </w:font>
  <w:font w:name="한양중고딕">
    <w:altName w:val="Batang"/>
    <w:panose1 w:val="00000000000000000000"/>
    <w:charset w:val="81"/>
    <w:family w:val="roman"/>
    <w:pitch w:val="default"/>
    <w:sig w:usb0="00000000" w:usb1="00000000" w:usb2="00000010" w:usb3="00000000" w:csb0="00080000" w:csb1="00000000"/>
  </w:font>
  <w:font w:name="새굴림">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right="-420" w:rightChars="-200" w:firstLine="6540" w:firstLineChars="4088"/>
      <w:jc w:val="both"/>
      <w:rPr>
        <w:rFonts w:hint="eastAsia" w:ascii="宋体" w:hAnsi="宋体" w:eastAsia="宋体" w:cs="宋体"/>
        <w:b/>
        <w:bCs/>
        <w:color w:val="000000"/>
        <w:sz w:val="16"/>
        <w:szCs w:val="16"/>
        <w:shd w:val="clear" w:color="auto" w:fill="auto"/>
        <w:lang w:val="en-US" w:eastAsia="zh-CN"/>
      </w:rPr>
    </w:pPr>
    <w:r>
      <w:rPr>
        <w:rFonts w:hint="eastAsia" w:ascii="宋体" w:hAnsi="宋体" w:cs="宋体"/>
        <w:b w:val="0"/>
        <w:bCs w:val="0"/>
        <w:color w:val="000000"/>
        <w:sz w:val="16"/>
        <w:szCs w:val="16"/>
        <w:shd w:val="clear" w:color="auto" w:fill="auto"/>
        <w:lang w:val="en-US" w:eastAsia="zh-CN"/>
      </w:rPr>
      <w:t xml:space="preserve">             </w:t>
    </w:r>
    <w:r>
      <w:rPr>
        <w:rFonts w:hint="eastAsia" w:ascii="宋体" w:hAnsi="宋体" w:cs="宋体"/>
        <w:b/>
        <w:bCs/>
        <w:color w:val="000000"/>
        <w:sz w:val="16"/>
        <w:szCs w:val="16"/>
        <w:shd w:val="clear" w:color="auto" w:fill="auto"/>
        <w:lang w:val="en-US" w:eastAsia="zh-CN"/>
      </w:rPr>
      <w:t xml:space="preserve"> </w:t>
    </w:r>
    <w:r>
      <w:rPr>
        <w:rFonts w:hint="eastAsia" w:ascii="宋体" w:hAnsi="宋体" w:eastAsia="宋体" w:cs="宋体"/>
        <w:b/>
        <w:bCs/>
        <w:color w:val="000000"/>
        <w:sz w:val="16"/>
        <w:szCs w:val="16"/>
        <w:shd w:val="clear" w:color="auto" w:fill="auto"/>
        <w:lang w:val="en-US" w:eastAsia="zh-CN"/>
      </w:rPr>
      <w:t>联系电话：010-57113125</w:t>
    </w:r>
  </w:p>
  <w:p>
    <w:pPr>
      <w:pStyle w:val="3"/>
    </w:pPr>
    <w:r>
      <w:rPr>
        <w:rFonts w:hint="eastAsia" w:ascii="宋体" w:hAnsi="宋体" w:cs="宋体"/>
        <w:b/>
        <w:bCs/>
        <w:color w:val="000000"/>
        <w:sz w:val="16"/>
        <w:szCs w:val="16"/>
        <w:shd w:val="clear" w:color="auto" w:fill="auto"/>
        <w:lang w:val="en-US" w:eastAsia="zh-CN"/>
      </w:rPr>
      <w:t xml:space="preserve">                                                                                               </w:t>
    </w:r>
    <w:r>
      <w:rPr>
        <w:rFonts w:hint="eastAsia" w:ascii="宋体" w:hAnsi="宋体" w:eastAsia="宋体" w:cs="宋体"/>
        <w:b/>
        <w:bCs/>
        <w:color w:val="000000"/>
        <w:sz w:val="16"/>
        <w:szCs w:val="16"/>
        <w:shd w:val="clear" w:color="auto" w:fill="auto"/>
        <w:lang w:val="en-US" w:eastAsia="zh-CN"/>
      </w:rPr>
      <w:t>平台网址：kor.125visa.com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posOffset>119380</wp:posOffset>
          </wp:positionH>
          <wp:positionV relativeFrom="paragraph">
            <wp:posOffset>-226695</wp:posOffset>
          </wp:positionV>
          <wp:extent cx="882015" cy="547370"/>
          <wp:effectExtent l="0" t="0" r="13335" b="5080"/>
          <wp:wrapTight wrapText="bothSides">
            <wp:wrapPolygon>
              <wp:start x="0" y="0"/>
              <wp:lineTo x="0" y="21049"/>
              <wp:lineTo x="20994" y="21049"/>
              <wp:lineTo x="20994" y="0"/>
              <wp:lineTo x="0" y="0"/>
            </wp:wrapPolygon>
          </wp:wrapTight>
          <wp:docPr id="1"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
                  <pic:cNvPicPr>
                    <a:picLocks noChangeAspect="1"/>
                  </pic:cNvPicPr>
                </pic:nvPicPr>
                <pic:blipFill>
                  <a:blip r:embed="rId1"/>
                  <a:stretch>
                    <a:fillRect/>
                  </a:stretch>
                </pic:blipFill>
                <pic:spPr>
                  <a:xfrm>
                    <a:off x="0" y="0"/>
                    <a:ext cx="882015" cy="5473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260A6E"/>
    <w:rsid w:val="113E57EB"/>
    <w:rsid w:val="2B260A6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100" w:beforeAutospacing="1" w:after="100" w:afterAutospacing="1"/>
      <w:ind w:left="0" w:right="0"/>
      <w:jc w:val="left"/>
    </w:pPr>
    <w:rPr>
      <w:kern w:val="0"/>
      <w:sz w:val="24"/>
      <w:lang w:val="en-US" w:eastAsia="zh-CN" w:bidi="ar-SA"/>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2017-02-15T01:42:00Z</dcterms:created>
  <dc:creator>Administrator</dc:creator>
  <cp:lastModifiedBy>Administrator</cp:lastModifiedBy>
  <dcterms:modified xsi:type="dcterms:W3CDTF">2017-02-15T01:54:56Z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